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CE48" w14:textId="294EF4CC" w:rsidR="002F56A2" w:rsidRPr="002F56A2" w:rsidRDefault="002F56A2" w:rsidP="002F56A2">
      <w:pPr>
        <w:widowControl w:val="0"/>
        <w:tabs>
          <w:tab w:val="left" w:pos="1701"/>
          <w:tab w:val="right" w:pos="9923"/>
        </w:tabs>
        <w:spacing w:before="120" w:after="0"/>
        <w:rPr>
          <w:rFonts w:ascii="Arial" w:eastAsia="MS Mincho" w:hAnsi="Arial"/>
          <w:b/>
          <w:sz w:val="24"/>
          <w:szCs w:val="24"/>
          <w:lang w:val="en-US" w:eastAsia="x-none"/>
        </w:rPr>
      </w:pPr>
      <w:bookmarkStart w:id="0" w:name="_GoBack"/>
      <w:bookmarkEnd w:id="0"/>
      <w:r w:rsidRPr="002F56A2">
        <w:rPr>
          <w:rFonts w:ascii="Arial" w:eastAsia="MS Mincho" w:hAnsi="Arial"/>
          <w:b/>
          <w:sz w:val="24"/>
          <w:szCs w:val="24"/>
          <w:lang w:val="en-US" w:eastAsia="x-none"/>
        </w:rPr>
        <w:t>3GPP TSG-RAN WG2 Meeting #129</w:t>
      </w:r>
      <w:r w:rsidRPr="002F56A2">
        <w:rPr>
          <w:rFonts w:ascii="Arial" w:eastAsia="MS Mincho" w:hAnsi="Arial"/>
          <w:b/>
          <w:sz w:val="24"/>
          <w:szCs w:val="24"/>
          <w:lang w:val="en-US" w:eastAsia="x-none"/>
        </w:rPr>
        <w:tab/>
        <w:t>R2-2</w:t>
      </w:r>
      <w:r w:rsidR="001F716E">
        <w:rPr>
          <w:rFonts w:ascii="Arial" w:eastAsia="MS Mincho" w:hAnsi="Arial"/>
          <w:b/>
          <w:sz w:val="24"/>
          <w:szCs w:val="24"/>
          <w:lang w:val="en-US" w:eastAsia="x-none"/>
        </w:rPr>
        <w:t>501107</w:t>
      </w:r>
    </w:p>
    <w:p w14:paraId="3DD56624" w14:textId="77777777" w:rsidR="002F56A2" w:rsidRPr="002F56A2" w:rsidRDefault="002F56A2" w:rsidP="002F56A2">
      <w:pPr>
        <w:widowControl w:val="0"/>
        <w:tabs>
          <w:tab w:val="left" w:pos="1701"/>
          <w:tab w:val="right" w:pos="9923"/>
        </w:tabs>
        <w:spacing w:before="120" w:after="0"/>
        <w:rPr>
          <w:rFonts w:ascii="Arial" w:eastAsia="MS Mincho" w:hAnsi="Arial"/>
          <w:b/>
          <w:sz w:val="24"/>
          <w:szCs w:val="24"/>
          <w:lang w:val="en-US" w:eastAsia="x-none"/>
        </w:rPr>
      </w:pPr>
      <w:r w:rsidRPr="002F56A2">
        <w:rPr>
          <w:rFonts w:ascii="Arial" w:eastAsia="MS Mincho" w:hAnsi="Arial"/>
          <w:b/>
          <w:sz w:val="24"/>
          <w:szCs w:val="24"/>
          <w:lang w:val="en-US" w:eastAsia="x-none"/>
        </w:rPr>
        <w:t>Athens, Greece, Feb. 17</w:t>
      </w:r>
      <w:r w:rsidRPr="002F56A2">
        <w:rPr>
          <w:rFonts w:ascii="Arial" w:eastAsia="MS Mincho" w:hAnsi="Arial"/>
          <w:b/>
          <w:sz w:val="24"/>
          <w:szCs w:val="24"/>
          <w:vertAlign w:val="superscript"/>
          <w:lang w:val="en-US" w:eastAsia="x-none"/>
        </w:rPr>
        <w:t>th</w:t>
      </w:r>
      <w:r w:rsidRPr="002F56A2">
        <w:rPr>
          <w:rFonts w:ascii="Arial" w:eastAsia="MS Mincho" w:hAnsi="Arial"/>
          <w:b/>
          <w:sz w:val="24"/>
          <w:szCs w:val="24"/>
          <w:lang w:val="en-US" w:eastAsia="x-none"/>
        </w:rPr>
        <w:t xml:space="preserve"> – 21</w:t>
      </w:r>
      <w:r w:rsidRPr="002F56A2">
        <w:rPr>
          <w:rFonts w:ascii="Arial" w:eastAsia="MS Mincho" w:hAnsi="Arial"/>
          <w:b/>
          <w:sz w:val="24"/>
          <w:szCs w:val="24"/>
          <w:vertAlign w:val="superscript"/>
          <w:lang w:val="en-US" w:eastAsia="x-none"/>
        </w:rPr>
        <w:t>st</w:t>
      </w:r>
      <w:r w:rsidRPr="002F56A2">
        <w:rPr>
          <w:rFonts w:ascii="Arial" w:eastAsia="MS Mincho" w:hAnsi="Arial"/>
          <w:b/>
          <w:sz w:val="24"/>
          <w:szCs w:val="24"/>
          <w:lang w:val="en-US" w:eastAsia="x-none"/>
        </w:rPr>
        <w:t>, 2025</w:t>
      </w:r>
    </w:p>
    <w:p w14:paraId="15C1144A" w14:textId="77777777" w:rsidR="002F56A2" w:rsidRPr="002F56A2" w:rsidRDefault="002F56A2" w:rsidP="002F56A2">
      <w:pPr>
        <w:spacing w:before="40" w:after="0"/>
        <w:rPr>
          <w:rFonts w:ascii="Arial" w:eastAsia="MS Mincho" w:hAnsi="Arial"/>
          <w:i/>
          <w:noProof/>
          <w:sz w:val="18"/>
          <w:szCs w:val="24"/>
          <w:lang w:val="en-US" w:eastAsia="en-GB"/>
        </w:rPr>
      </w:pPr>
    </w:p>
    <w:p w14:paraId="0F7D936E" w14:textId="1D3FA189"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861908" w:rsidRPr="00861908">
        <w:rPr>
          <w:rFonts w:ascii="Arial" w:hAnsi="Arial"/>
          <w:sz w:val="24"/>
        </w:rPr>
        <w:t>Discussion on leftovers from Rel-18</w:t>
      </w:r>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38278098"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w:t>
      </w:r>
      <w:r w:rsidR="00A159E2">
        <w:rPr>
          <w:rFonts w:ascii="Arial" w:hAnsi="Arial"/>
          <w:sz w:val="24"/>
        </w:rPr>
        <w:t>5</w:t>
      </w:r>
      <w:r w:rsidR="00EC2BC9">
        <w:rPr>
          <w:rFonts w:ascii="Arial" w:hAnsi="Arial"/>
          <w:sz w:val="24"/>
        </w:rPr>
        <w:t>.1</w:t>
      </w:r>
    </w:p>
    <w:p w14:paraId="27E4F2BB" w14:textId="77777777"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63D60DC0" w14:textId="6B18CEB1" w:rsidR="00421389" w:rsidRDefault="00421389" w:rsidP="00076303">
      <w:pPr>
        <w:rPr>
          <w:lang w:eastAsia="zh-CN"/>
        </w:rPr>
      </w:pPr>
      <w:bookmarkStart w:id="3" w:name="_Ref129681832"/>
      <w:r w:rsidRPr="00304DBD">
        <w:rPr>
          <w:lang w:eastAsia="zh-CN"/>
        </w:rPr>
        <w:t>Rel-19 WID includes the following leftover topics from Rel-18 to be further discussed in RAN2:</w:t>
      </w:r>
    </w:p>
    <w:p w14:paraId="5BEC4228" w14:textId="77777777" w:rsidR="00076303" w:rsidRPr="00326A20" w:rsidRDefault="00076303" w:rsidP="00076303">
      <w:pPr>
        <w:spacing w:after="0" w:line="360" w:lineRule="auto"/>
        <w:ind w:leftChars="300" w:left="600"/>
        <w:rPr>
          <w:rFonts w:eastAsia="宋体"/>
          <w:i/>
        </w:rPr>
      </w:pPr>
      <w:r w:rsidRPr="00326A20">
        <w:rPr>
          <w:rFonts w:eastAsia="宋体" w:hint="eastAsia"/>
          <w:i/>
        </w:rPr>
        <w:t>- Support of the leftovers in Rel-18 SON/MDT [RAN3, RAN2]:</w:t>
      </w:r>
    </w:p>
    <w:p w14:paraId="11B2E807" w14:textId="77777777" w:rsidR="00076303" w:rsidRPr="00326A20" w:rsidRDefault="00076303" w:rsidP="00076303">
      <w:pPr>
        <w:numPr>
          <w:ilvl w:val="0"/>
          <w:numId w:val="45"/>
        </w:numPr>
        <w:spacing w:after="0" w:line="360" w:lineRule="auto"/>
        <w:ind w:leftChars="480" w:left="1320"/>
        <w:rPr>
          <w:rFonts w:eastAsia="宋体"/>
          <w:i/>
        </w:rPr>
      </w:pPr>
      <w:r w:rsidRPr="00326A20">
        <w:rPr>
          <w:rFonts w:eastAsia="宋体"/>
          <w:i/>
        </w:rPr>
        <w:t>RACH optimization for SDT</w:t>
      </w:r>
    </w:p>
    <w:p w14:paraId="177C12D0" w14:textId="77777777" w:rsidR="00076303" w:rsidRPr="00326A20" w:rsidRDefault="00076303" w:rsidP="00076303">
      <w:pPr>
        <w:numPr>
          <w:ilvl w:val="0"/>
          <w:numId w:val="45"/>
        </w:numPr>
        <w:spacing w:after="0" w:line="360" w:lineRule="auto"/>
        <w:ind w:leftChars="480" w:left="1320"/>
        <w:rPr>
          <w:rFonts w:eastAsia="宋体"/>
          <w:i/>
        </w:rPr>
      </w:pPr>
      <w:r w:rsidRPr="00326A20">
        <w:rPr>
          <w:rFonts w:eastAsia="宋体"/>
          <w:i/>
        </w:rPr>
        <w:t>MHI Enhancement for SCG Deactivation/Activation</w:t>
      </w:r>
    </w:p>
    <w:p w14:paraId="0DEA66DE" w14:textId="77777777" w:rsidR="00076303" w:rsidRPr="00326A20" w:rsidRDefault="00076303" w:rsidP="00076303">
      <w:pPr>
        <w:pStyle w:val="af4"/>
        <w:numPr>
          <w:ilvl w:val="0"/>
          <w:numId w:val="45"/>
        </w:numPr>
        <w:spacing w:after="0" w:line="360" w:lineRule="auto"/>
        <w:ind w:leftChars="480" w:left="1320" w:firstLineChars="0"/>
        <w:contextualSpacing/>
        <w:rPr>
          <w:rFonts w:eastAsia="宋体"/>
          <w:i/>
        </w:rPr>
      </w:pPr>
      <w:r w:rsidRPr="00326A20">
        <w:rPr>
          <w:rFonts w:eastAsia="宋体"/>
          <w:i/>
        </w:rPr>
        <w:t>MRO for MR-DC SCG failure</w:t>
      </w:r>
    </w:p>
    <w:p w14:paraId="659DE0C4" w14:textId="12E0CC40" w:rsidR="00371E43" w:rsidRPr="00F41871" w:rsidRDefault="00F41871" w:rsidP="00076303">
      <w:pPr>
        <w:rPr>
          <w:lang w:eastAsia="zh-CN"/>
        </w:rPr>
      </w:pPr>
      <w:r w:rsidRPr="00F41871">
        <w:rPr>
          <w:rFonts w:hint="eastAsia"/>
          <w:lang w:eastAsia="zh-CN"/>
        </w:rPr>
        <w:t>I</w:t>
      </w:r>
      <w:r w:rsidRPr="00F41871">
        <w:rPr>
          <w:lang w:eastAsia="zh-CN"/>
        </w:rPr>
        <w:t>n t</w:t>
      </w:r>
      <w:r>
        <w:rPr>
          <w:lang w:eastAsia="zh-CN"/>
        </w:rPr>
        <w:t>his paper, we mainly analy</w:t>
      </w:r>
      <w:r w:rsidR="00421389">
        <w:rPr>
          <w:lang w:eastAsia="zh-CN"/>
        </w:rPr>
        <w:t>s</w:t>
      </w:r>
      <w:r>
        <w:rPr>
          <w:lang w:eastAsia="zh-CN"/>
        </w:rPr>
        <w:t>e</w:t>
      </w:r>
      <w:r w:rsidR="00421389">
        <w:rPr>
          <w:lang w:eastAsia="zh-CN"/>
        </w:rPr>
        <w:t xml:space="preserve"> </w:t>
      </w:r>
      <w:r>
        <w:rPr>
          <w:lang w:eastAsia="zh-CN"/>
        </w:rPr>
        <w:t xml:space="preserve">possible RAN2 impacts for </w:t>
      </w:r>
      <w:r w:rsidR="00421389">
        <w:rPr>
          <w:lang w:eastAsia="zh-CN"/>
        </w:rPr>
        <w:t>SDT</w:t>
      </w:r>
      <w:r w:rsidR="00304DBD">
        <w:rPr>
          <w:lang w:eastAsia="zh-CN"/>
        </w:rPr>
        <w:t xml:space="preserve"> related RACH optimization </w:t>
      </w:r>
      <w:r w:rsidR="00421389">
        <w:rPr>
          <w:lang w:eastAsia="zh-CN"/>
        </w:rPr>
        <w:t>and MHI enhancement for SCG Deactivation/Activation.</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AF68D99" w14:textId="02023530" w:rsidR="00621171" w:rsidRPr="0037249D" w:rsidRDefault="001F716E" w:rsidP="00621171">
      <w:pPr>
        <w:pStyle w:val="2"/>
        <w:rPr>
          <w:rFonts w:ascii="Arial" w:eastAsia="Times New Roman" w:hAnsi="Arial"/>
          <w:b w:val="0"/>
          <w:bCs w:val="0"/>
          <w:sz w:val="28"/>
          <w:lang w:eastAsia="en-GB"/>
        </w:rPr>
      </w:pPr>
      <w:r>
        <w:rPr>
          <w:rFonts w:ascii="Arial" w:eastAsia="Times New Roman" w:hAnsi="Arial"/>
          <w:b w:val="0"/>
          <w:bCs w:val="0"/>
          <w:sz w:val="28"/>
          <w:lang w:eastAsia="en-GB"/>
        </w:rPr>
        <w:t xml:space="preserve">Discussion on </w:t>
      </w:r>
      <w:r w:rsidR="00304DBD">
        <w:rPr>
          <w:rFonts w:ascii="Arial" w:eastAsia="Times New Roman" w:hAnsi="Arial"/>
          <w:b w:val="0"/>
          <w:bCs w:val="0"/>
          <w:sz w:val="28"/>
          <w:lang w:eastAsia="en-GB"/>
        </w:rPr>
        <w:t>RA report solution for SDT</w:t>
      </w:r>
    </w:p>
    <w:p w14:paraId="23B5B9D7" w14:textId="097A1F20" w:rsidR="006143A7" w:rsidRDefault="006143A7" w:rsidP="00E21547">
      <w:pPr>
        <w:rPr>
          <w:lang w:eastAsia="zh-CN"/>
        </w:rPr>
      </w:pPr>
      <w:r>
        <w:rPr>
          <w:rFonts w:hint="eastAsia"/>
          <w:lang w:eastAsia="zh-CN"/>
        </w:rPr>
        <w:t>R</w:t>
      </w:r>
      <w:r>
        <w:rPr>
          <w:lang w:eastAsia="zh-CN"/>
        </w:rPr>
        <w:t>AN2#12</w:t>
      </w:r>
      <w:r w:rsidR="00304DBD">
        <w:rPr>
          <w:lang w:eastAsia="zh-CN"/>
        </w:rPr>
        <w:t xml:space="preserve">8 </w:t>
      </w:r>
      <w:r>
        <w:rPr>
          <w:lang w:eastAsia="zh-CN"/>
        </w:rPr>
        <w:t>made the following agreements:</w:t>
      </w:r>
    </w:p>
    <w:tbl>
      <w:tblPr>
        <w:tblStyle w:val="ae"/>
        <w:tblW w:w="0" w:type="auto"/>
        <w:tblInd w:w="822" w:type="dxa"/>
        <w:tblLook w:val="04A0" w:firstRow="1" w:lastRow="0" w:firstColumn="1" w:lastColumn="0" w:noHBand="0" w:noVBand="1"/>
      </w:tblPr>
      <w:tblGrid>
        <w:gridCol w:w="7685"/>
      </w:tblGrid>
      <w:tr w:rsidR="00304DBD" w:rsidRPr="0024140C" w14:paraId="2A01F0B6" w14:textId="77777777" w:rsidTr="00D26C99">
        <w:tc>
          <w:tcPr>
            <w:tcW w:w="7685" w:type="dxa"/>
          </w:tcPr>
          <w:p w14:paraId="231851F5" w14:textId="77777777" w:rsidR="00304DBD" w:rsidRPr="0024140C" w:rsidRDefault="00304DBD" w:rsidP="00DD1D7F">
            <w:pPr>
              <w:pStyle w:val="Doc-text2"/>
              <w:ind w:left="0" w:firstLine="0"/>
              <w:rPr>
                <w:b/>
                <w:bCs/>
                <w:lang w:eastAsia="ja-JP"/>
              </w:rPr>
            </w:pPr>
            <w:r w:rsidRPr="0024140C">
              <w:rPr>
                <w:b/>
                <w:bCs/>
                <w:lang w:eastAsia="ja-JP"/>
              </w:rPr>
              <w:t>Agreements</w:t>
            </w:r>
          </w:p>
          <w:p w14:paraId="770CE9D6" w14:textId="77777777" w:rsidR="00304DBD" w:rsidRPr="0024140C" w:rsidRDefault="00304DBD" w:rsidP="00304DBD">
            <w:pPr>
              <w:pStyle w:val="Doc-text2"/>
              <w:numPr>
                <w:ilvl w:val="0"/>
                <w:numId w:val="49"/>
              </w:numPr>
              <w:rPr>
                <w:lang w:eastAsia="ja-JP"/>
              </w:rPr>
            </w:pPr>
            <w:r w:rsidRPr="0024140C">
              <w:rPr>
                <w:lang w:eastAsia="ja-JP"/>
              </w:rPr>
              <w:t>The UE logs the DL RSRP and UL data volume for the failed to initiate of RA-SDT in RA report.</w:t>
            </w:r>
          </w:p>
          <w:p w14:paraId="45739BAC" w14:textId="77777777" w:rsidR="00304DBD" w:rsidRPr="0024140C" w:rsidRDefault="00304DBD" w:rsidP="00304DBD">
            <w:pPr>
              <w:pStyle w:val="Doc-text2"/>
              <w:numPr>
                <w:ilvl w:val="0"/>
                <w:numId w:val="49"/>
              </w:numPr>
              <w:rPr>
                <w:lang w:eastAsia="ja-JP"/>
              </w:rPr>
            </w:pPr>
            <w:r w:rsidRPr="0024140C">
              <w:rPr>
                <w:lang w:eastAsia="ja-JP"/>
              </w:rPr>
              <w:t>The following failure causes can be logged for failed SDT in RA report:</w:t>
            </w:r>
          </w:p>
          <w:p w14:paraId="7F27E2BB" w14:textId="77777777" w:rsidR="00304DBD" w:rsidRPr="0024140C" w:rsidRDefault="00304DBD" w:rsidP="00DD1D7F">
            <w:pPr>
              <w:pStyle w:val="Doc-text2"/>
              <w:ind w:left="720" w:firstLine="0"/>
              <w:rPr>
                <w:lang w:eastAsia="ja-JP"/>
              </w:rPr>
            </w:pPr>
            <w:r w:rsidRPr="0024140C">
              <w:rPr>
                <w:rFonts w:ascii="Cambria Math" w:hAnsi="Cambria Math" w:cs="Cambria Math"/>
                <w:lang w:eastAsia="ja-JP"/>
              </w:rPr>
              <w:t>⁻</w:t>
            </w:r>
            <w:r w:rsidRPr="0024140C">
              <w:rPr>
                <w:lang w:eastAsia="ja-JP"/>
              </w:rPr>
              <w:tab/>
              <w:t>upon receiving indication from the MCG RLC that the maximum number of retransmissions has been reached while SDT procedure is ongoing;</w:t>
            </w:r>
          </w:p>
          <w:p w14:paraId="38322A8D" w14:textId="77777777" w:rsidR="00304DBD" w:rsidRPr="0024140C" w:rsidRDefault="00304DBD" w:rsidP="00DD1D7F">
            <w:pPr>
              <w:pStyle w:val="Doc-text2"/>
              <w:ind w:left="720" w:firstLine="0"/>
              <w:rPr>
                <w:lang w:eastAsia="ja-JP"/>
              </w:rPr>
            </w:pPr>
            <w:r w:rsidRPr="0024140C">
              <w:rPr>
                <w:rFonts w:ascii="Cambria Math" w:hAnsi="Cambria Math" w:cs="Cambria Math"/>
                <w:lang w:eastAsia="ja-JP"/>
              </w:rPr>
              <w:t>⁻</w:t>
            </w:r>
            <w:r w:rsidRPr="0024140C">
              <w:rPr>
                <w:lang w:eastAsia="ja-JP"/>
              </w:rPr>
              <w:tab/>
              <w:t>upon random access problem indication is received from MCG MAC while SDT procedure is ongoing;</w:t>
            </w:r>
          </w:p>
          <w:p w14:paraId="77973E8F" w14:textId="77777777" w:rsidR="00304DBD" w:rsidRPr="0024140C" w:rsidRDefault="00304DBD" w:rsidP="00DD1D7F">
            <w:pPr>
              <w:pStyle w:val="Doc-text2"/>
              <w:ind w:left="720" w:firstLine="0"/>
              <w:rPr>
                <w:lang w:eastAsia="ja-JP"/>
              </w:rPr>
            </w:pPr>
            <w:r w:rsidRPr="0024140C">
              <w:rPr>
                <w:rFonts w:ascii="Cambria Math" w:hAnsi="Cambria Math" w:cs="Cambria Math"/>
                <w:lang w:eastAsia="ja-JP"/>
              </w:rPr>
              <w:t>⁻</w:t>
            </w:r>
            <w:r w:rsidRPr="0024140C">
              <w:rPr>
                <w:lang w:eastAsia="ja-JP"/>
              </w:rPr>
              <w:tab/>
              <w:t>upon T319a expires;</w:t>
            </w:r>
          </w:p>
          <w:p w14:paraId="0047DDE7" w14:textId="77777777" w:rsidR="00304DBD" w:rsidRPr="0024140C" w:rsidRDefault="00304DBD" w:rsidP="00DD1D7F">
            <w:pPr>
              <w:pStyle w:val="Doc-text2"/>
              <w:ind w:left="720" w:firstLine="0"/>
              <w:rPr>
                <w:lang w:eastAsia="ja-JP"/>
              </w:rPr>
            </w:pPr>
            <w:r w:rsidRPr="0024140C">
              <w:rPr>
                <w:rFonts w:ascii="Cambria Math" w:hAnsi="Cambria Math" w:cs="Cambria Math"/>
                <w:lang w:eastAsia="ja-JP"/>
              </w:rPr>
              <w:t>⁻</w:t>
            </w:r>
            <w:r w:rsidRPr="0024140C">
              <w:rPr>
                <w:lang w:eastAsia="ja-JP"/>
              </w:rPr>
              <w:tab/>
              <w:t>upon the lower layers indicate that cg-SDT-TimeAlignmentTimer or the configuredGrantTimer expired before receiving network response for the UL CG-SDT transmission with CCCH message while SDT procedure is ongoing;</w:t>
            </w:r>
          </w:p>
          <w:p w14:paraId="60189466" w14:textId="77777777" w:rsidR="00304DBD" w:rsidRPr="0024140C" w:rsidRDefault="00304DBD" w:rsidP="00DD1D7F">
            <w:pPr>
              <w:pStyle w:val="Doc-text2"/>
              <w:ind w:left="720" w:firstLine="0"/>
              <w:rPr>
                <w:lang w:eastAsia="ja-JP"/>
              </w:rPr>
            </w:pPr>
            <w:r w:rsidRPr="0024140C">
              <w:rPr>
                <w:rFonts w:ascii="Cambria Math" w:hAnsi="Cambria Math" w:cs="Cambria Math"/>
                <w:lang w:eastAsia="ja-JP"/>
              </w:rPr>
              <w:t>⁻</w:t>
            </w:r>
            <w:r w:rsidRPr="0024140C">
              <w:rPr>
                <w:lang w:eastAsia="ja-JP"/>
              </w:rPr>
              <w:tab/>
            </w:r>
            <w:r w:rsidRPr="001F716E">
              <w:rPr>
                <w:highlight w:val="yellow"/>
                <w:lang w:eastAsia="ja-JP"/>
              </w:rPr>
              <w:t>FFS: unsuccessfully completed upon cell re-selection.</w:t>
            </w:r>
          </w:p>
        </w:tc>
      </w:tr>
    </w:tbl>
    <w:p w14:paraId="4E6670B9" w14:textId="4AFF552E" w:rsidR="000943F6" w:rsidRDefault="000943F6" w:rsidP="00D26C99">
      <w:pPr>
        <w:rPr>
          <w:lang w:eastAsia="zh-CN"/>
        </w:rPr>
      </w:pPr>
    </w:p>
    <w:p w14:paraId="407395BC" w14:textId="7236E876" w:rsidR="000943F6" w:rsidRDefault="000943F6" w:rsidP="00D26C99">
      <w:pPr>
        <w:rPr>
          <w:lang w:eastAsia="zh-CN"/>
        </w:rPr>
      </w:pPr>
      <w:r>
        <w:rPr>
          <w:lang w:eastAsia="zh-CN"/>
        </w:rPr>
        <w:t xml:space="preserve">Per current specification, The UE terminates the SDT transmission </w:t>
      </w:r>
      <w:r>
        <w:rPr>
          <w:rFonts w:hint="eastAsia"/>
          <w:lang w:eastAsia="zh-CN"/>
        </w:rPr>
        <w:t>and</w:t>
      </w:r>
      <w:r>
        <w:rPr>
          <w:lang w:eastAsia="zh-CN"/>
        </w:rPr>
        <w:t xml:space="preserve"> </w:t>
      </w:r>
      <w:r>
        <w:rPr>
          <w:rFonts w:hint="eastAsia"/>
          <w:lang w:eastAsia="zh-CN"/>
        </w:rPr>
        <w:t>goes</w:t>
      </w:r>
      <w:r>
        <w:rPr>
          <w:lang w:eastAsia="zh-CN"/>
        </w:rPr>
        <w:t xml:space="preserve"> to RRC Idle when cell re-selection occurs during the on-going SDT transmission. Even though the SDT transmission terminates, we do not consider it as the SDT failure case. Because the radio link quality </w:t>
      </w:r>
      <w:r w:rsidRPr="000943F6">
        <w:rPr>
          <w:lang w:eastAsia="zh-CN"/>
        </w:rPr>
        <w:t>deteriorate</w:t>
      </w:r>
      <w:r>
        <w:rPr>
          <w:lang w:eastAsia="zh-CN"/>
        </w:rPr>
        <w:t xml:space="preserve">s due to UE mobility and the failure risk of SDT transmission </w:t>
      </w:r>
      <w:r>
        <w:rPr>
          <w:rFonts w:hint="eastAsia"/>
          <w:lang w:eastAsia="zh-CN"/>
        </w:rPr>
        <w:t>increases</w:t>
      </w:r>
      <w:r>
        <w:rPr>
          <w:lang w:eastAsia="zh-CN"/>
        </w:rPr>
        <w:t xml:space="preserve"> </w:t>
      </w:r>
      <w:r w:rsidRPr="000943F6">
        <w:rPr>
          <w:lang w:eastAsia="zh-CN"/>
        </w:rPr>
        <w:t>dramatically</w:t>
      </w:r>
      <w:r>
        <w:rPr>
          <w:lang w:eastAsia="zh-CN"/>
        </w:rPr>
        <w:t xml:space="preserve">, it is natural to prioritize the cell re-selection process over any other process. There is nothing for network to improve in the cell re-selection case. Therefore, there is no need to </w:t>
      </w:r>
      <w:r w:rsidR="002F5AFD">
        <w:rPr>
          <w:lang w:eastAsia="zh-CN"/>
        </w:rPr>
        <w:t>log the cell re-selection as failure cause.</w:t>
      </w:r>
    </w:p>
    <w:p w14:paraId="2FD972CF" w14:textId="6BB1DF49" w:rsidR="002F5AFD" w:rsidRDefault="002F5AFD" w:rsidP="00D0483B">
      <w:pPr>
        <w:rPr>
          <w:b/>
          <w:lang w:eastAsia="zh-CN"/>
        </w:rPr>
      </w:pPr>
      <w:r>
        <w:rPr>
          <w:b/>
          <w:lang w:eastAsia="zh-CN"/>
        </w:rPr>
        <w:t>Proposal 1: RAN2 do not include the cell-reselection as failure cause for SDT transmission.</w:t>
      </w:r>
    </w:p>
    <w:p w14:paraId="51409500" w14:textId="77777777" w:rsidR="008C4068" w:rsidRDefault="008C4068" w:rsidP="007C332C">
      <w:pPr>
        <w:jc w:val="both"/>
        <w:rPr>
          <w:rFonts w:eastAsia="宋体"/>
        </w:rPr>
      </w:pPr>
    </w:p>
    <w:p w14:paraId="4D6794EC" w14:textId="2501CDCA" w:rsidR="007C332C" w:rsidRDefault="007C332C" w:rsidP="007C332C">
      <w:pPr>
        <w:jc w:val="both"/>
        <w:rPr>
          <w:rFonts w:eastAsia="宋体"/>
        </w:rPr>
      </w:pPr>
      <w:r w:rsidRPr="005D7F31">
        <w:rPr>
          <w:rFonts w:eastAsia="宋体"/>
        </w:rPr>
        <w:lastRenderedPageBreak/>
        <w:t xml:space="preserve">Furthermore, </w:t>
      </w:r>
      <w:r>
        <w:rPr>
          <w:rFonts w:eastAsia="宋体"/>
        </w:rPr>
        <w:t xml:space="preserve">since RAN2 does not rule out the case when UE fall backs from the CG-SDT to RA-SDT, </w:t>
      </w:r>
      <w:r w:rsidRPr="005D7F31">
        <w:rPr>
          <w:rFonts w:eastAsia="宋体"/>
        </w:rPr>
        <w:t>we analyse the necessity of other SDT related information</w:t>
      </w:r>
      <w:r>
        <w:rPr>
          <w:rFonts w:eastAsia="宋体" w:hint="eastAsia"/>
        </w:rPr>
        <w:t xml:space="preserve"> </w:t>
      </w:r>
      <w:r>
        <w:rPr>
          <w:rFonts w:eastAsia="宋体"/>
        </w:rPr>
        <w:t>as below:</w:t>
      </w:r>
    </w:p>
    <w:p w14:paraId="19C8F428" w14:textId="77777777" w:rsidR="007C332C" w:rsidRPr="002D1987" w:rsidRDefault="007C332C" w:rsidP="007C332C">
      <w:pPr>
        <w:pStyle w:val="af4"/>
        <w:numPr>
          <w:ilvl w:val="0"/>
          <w:numId w:val="50"/>
        </w:numPr>
        <w:ind w:firstLineChars="0"/>
        <w:contextualSpacing/>
        <w:jc w:val="both"/>
      </w:pPr>
      <w:r w:rsidRPr="002D1987">
        <w:t>CG-SDT related information if the UE is configured with CG-SDT but fails to initiate the CG-SDT</w:t>
      </w:r>
    </w:p>
    <w:p w14:paraId="4D4B74E1" w14:textId="77777777" w:rsidR="007C332C" w:rsidRPr="002D1987" w:rsidRDefault="007C332C" w:rsidP="007C332C">
      <w:pPr>
        <w:pStyle w:val="af4"/>
        <w:numPr>
          <w:ilvl w:val="0"/>
          <w:numId w:val="50"/>
        </w:numPr>
        <w:ind w:firstLineChars="0"/>
        <w:contextualSpacing/>
        <w:jc w:val="both"/>
      </w:pPr>
      <w:r w:rsidRPr="002D1987">
        <w:rPr>
          <w:rFonts w:hint="eastAsia"/>
        </w:rPr>
        <w:t>indication regarding that the UE</w:t>
      </w:r>
      <w:r w:rsidRPr="002D1987">
        <w:t xml:space="preserve"> failed to initiate RA-SDT or CG-SDT</w:t>
      </w:r>
    </w:p>
    <w:p w14:paraId="62CFA71D" w14:textId="77777777" w:rsidR="007C332C" w:rsidRPr="004B623D" w:rsidRDefault="007C332C" w:rsidP="007C332C">
      <w:pPr>
        <w:jc w:val="both"/>
        <w:rPr>
          <w:rFonts w:eastAsia="宋体"/>
        </w:rPr>
      </w:pPr>
      <w:r>
        <w:rPr>
          <w:rFonts w:eastAsia="宋体" w:hint="eastAsia"/>
        </w:rPr>
        <w:t>W</w:t>
      </w:r>
      <w:r>
        <w:rPr>
          <w:rFonts w:eastAsia="宋体"/>
        </w:rPr>
        <w:t xml:space="preserve">hen UL data arrives in the UE in RRC inactive, the UE could first check whether the CG-SDT is configured and thus </w:t>
      </w:r>
      <w:r>
        <w:rPr>
          <w:rFonts w:eastAsia="宋体" w:hint="eastAsia"/>
        </w:rPr>
        <w:t>the</w:t>
      </w:r>
      <w:r>
        <w:rPr>
          <w:rFonts w:eastAsia="宋体"/>
        </w:rPr>
        <w:t xml:space="preserve"> conditions for CG-SDT are fulfilled, and then chec</w:t>
      </w:r>
      <w:r>
        <w:rPr>
          <w:rFonts w:eastAsia="宋体" w:hint="eastAsia"/>
        </w:rPr>
        <w:t>k</w:t>
      </w:r>
      <w:r>
        <w:rPr>
          <w:rFonts w:eastAsia="宋体"/>
        </w:rPr>
        <w:t xml:space="preserve"> if the RA-SDT is fulfilled if CG-SDT </w:t>
      </w:r>
      <w:r>
        <w:rPr>
          <w:rFonts w:eastAsia="宋体" w:hint="eastAsia"/>
        </w:rPr>
        <w:t>is</w:t>
      </w:r>
      <w:r>
        <w:rPr>
          <w:rFonts w:eastAsia="宋体"/>
        </w:rPr>
        <w:t xml:space="preserve"> not configured or the conditions for CG-SDT are not fulfilled. I</w:t>
      </w:r>
      <w:r>
        <w:rPr>
          <w:rFonts w:eastAsia="宋体" w:hint="eastAsia"/>
        </w:rPr>
        <w:t>n</w:t>
      </w:r>
      <w:r>
        <w:rPr>
          <w:rFonts w:eastAsia="宋体"/>
        </w:rPr>
        <w:t xml:space="preserve"> our point of view, the network may need to know why CG-SDT is not initiated when the CG is reserved and configured for the UE. The UE also compares the DL RSRP and buffered data volume to</w:t>
      </w:r>
      <w:r>
        <w:rPr>
          <w:rFonts w:eastAsia="宋体" w:hint="eastAsia"/>
        </w:rPr>
        <w:t xml:space="preserve"> C</w:t>
      </w:r>
      <w:r>
        <w:rPr>
          <w:rFonts w:eastAsia="宋体"/>
        </w:rPr>
        <w:t>G-SDT condition parameter to derive the fulfilment status. Regarding the fallback case from CG-SDT to RA-SDT, it may help the network to optimize the CG-SDT related parameters and improve the utilization probability of CG resources.</w:t>
      </w:r>
      <w:r>
        <w:rPr>
          <w:rFonts w:eastAsia="宋体" w:hint="eastAsia"/>
        </w:rPr>
        <w:t xml:space="preserve"> </w:t>
      </w:r>
      <w:r>
        <w:rPr>
          <w:rFonts w:eastAsia="宋体"/>
        </w:rPr>
        <w:t xml:space="preserve">Since the DL RSRP and buffered data are already agreed to be reported by UE and the UE-specific CG-SDT config is known from the UE context, we understand that an indication of whether CG-SDT </w:t>
      </w:r>
      <w:r>
        <w:rPr>
          <w:rFonts w:eastAsia="宋体" w:hint="eastAsia"/>
        </w:rPr>
        <w:t>is</w:t>
      </w:r>
      <w:r>
        <w:rPr>
          <w:rFonts w:eastAsia="宋体"/>
        </w:rPr>
        <w:t xml:space="preserve"> configured in RA report, when RA-SDT is initiated, </w:t>
      </w:r>
      <w:r>
        <w:rPr>
          <w:rFonts w:eastAsia="宋体" w:hint="eastAsia"/>
        </w:rPr>
        <w:t>enables</w:t>
      </w:r>
      <w:r>
        <w:rPr>
          <w:rFonts w:eastAsia="宋体"/>
        </w:rPr>
        <w:t xml:space="preserve"> the network to know that it fails to initiate CG-SDT.</w:t>
      </w:r>
    </w:p>
    <w:p w14:paraId="21CFE470" w14:textId="35A0F9F1" w:rsidR="00B67565" w:rsidRDefault="007C332C" w:rsidP="007C332C">
      <w:pPr>
        <w:spacing w:after="120"/>
        <w:ind w:rightChars="100" w:right="200"/>
        <w:jc w:val="both"/>
        <w:rPr>
          <w:b/>
        </w:rPr>
      </w:pPr>
      <w:r>
        <w:rPr>
          <w:b/>
        </w:rPr>
        <w:t>Proposal 2</w:t>
      </w:r>
      <w:r w:rsidRPr="00CB7602">
        <w:rPr>
          <w:b/>
        </w:rPr>
        <w:t>:</w:t>
      </w:r>
      <w:r>
        <w:rPr>
          <w:b/>
        </w:rPr>
        <w:t xml:space="preserve"> </w:t>
      </w:r>
      <w:r w:rsidRPr="004E782E">
        <w:rPr>
          <w:b/>
        </w:rPr>
        <w:t>The UE indicates in the RA-Report if the CG-SDT initiation was evaluated.</w:t>
      </w:r>
    </w:p>
    <w:p w14:paraId="7BA15D53" w14:textId="77777777" w:rsidR="008C4068" w:rsidRPr="007C332C" w:rsidRDefault="008C4068" w:rsidP="007C332C">
      <w:pPr>
        <w:spacing w:after="120"/>
        <w:ind w:rightChars="100" w:right="200"/>
        <w:jc w:val="both"/>
      </w:pPr>
    </w:p>
    <w:p w14:paraId="21EF5609" w14:textId="746AFDDB" w:rsidR="00E4799C" w:rsidRDefault="001F716E" w:rsidP="00E4799C">
      <w:pPr>
        <w:pStyle w:val="2"/>
        <w:rPr>
          <w:rFonts w:ascii="Arial" w:eastAsia="Times New Roman" w:hAnsi="Arial"/>
          <w:b w:val="0"/>
          <w:bCs w:val="0"/>
          <w:sz w:val="28"/>
          <w:lang w:eastAsia="en-GB"/>
        </w:rPr>
      </w:pPr>
      <w:r>
        <w:rPr>
          <w:rFonts w:ascii="Arial" w:eastAsia="Times New Roman" w:hAnsi="Arial"/>
          <w:b w:val="0"/>
          <w:bCs w:val="0"/>
          <w:sz w:val="28"/>
          <w:lang w:eastAsia="en-GB"/>
        </w:rPr>
        <w:t xml:space="preserve">Discussion on </w:t>
      </w:r>
      <w:r w:rsidR="00304DBD">
        <w:rPr>
          <w:rFonts w:ascii="Arial" w:eastAsia="Times New Roman" w:hAnsi="Arial"/>
          <w:b w:val="0"/>
          <w:bCs w:val="0"/>
          <w:sz w:val="28"/>
          <w:lang w:eastAsia="en-GB"/>
        </w:rPr>
        <w:t>MHI enhancement for SCG deactivation/activation</w:t>
      </w:r>
    </w:p>
    <w:p w14:paraId="0F6E0935" w14:textId="4959F009" w:rsidR="00D26C99" w:rsidRDefault="007C332C" w:rsidP="00D26C99">
      <w:pPr>
        <w:rPr>
          <w:lang w:eastAsia="zh-CN"/>
        </w:rPr>
      </w:pPr>
      <w:r>
        <w:rPr>
          <w:lang w:eastAsia="zh-CN"/>
        </w:rPr>
        <w:t>RAN3 LS [1]</w:t>
      </w:r>
      <w:r w:rsidR="00D20F87">
        <w:rPr>
          <w:lang w:eastAsia="zh-CN"/>
        </w:rPr>
        <w:t xml:space="preserve"> gives the feedback that the </w:t>
      </w:r>
      <w:r w:rsidR="00D20F87">
        <w:rPr>
          <w:rFonts w:hint="eastAsia"/>
          <w:lang w:eastAsia="zh-CN"/>
        </w:rPr>
        <w:t>networ</w:t>
      </w:r>
      <w:r w:rsidR="00D20F87">
        <w:rPr>
          <w:lang w:eastAsia="zh-CN"/>
        </w:rPr>
        <w:t xml:space="preserve">k-based solution is supported. Compared to the network-based solution, the UE-based solution has the advantage to log the SCG deactivation/activation state in a more reliable manner, when UE RRC state transitions from RRC connected to RRC Idle and back to RRC connected. Because the network-based solution lost all the PSCell information in UE’s RRC Idle state and could not link this UE’s mobility information in previous RRC connected state to the UE </w:t>
      </w:r>
      <w:r w:rsidR="00D20F87">
        <w:rPr>
          <w:rFonts w:hint="eastAsia"/>
          <w:lang w:eastAsia="zh-CN"/>
        </w:rPr>
        <w:t>which</w:t>
      </w:r>
      <w:r w:rsidR="00D20F87">
        <w:rPr>
          <w:lang w:eastAsia="zh-CN"/>
        </w:rPr>
        <w:t xml:space="preserve"> comes back to RRC connected again. It is an interruption of UE mobility information logging. Therefore, we propose:</w:t>
      </w:r>
    </w:p>
    <w:p w14:paraId="1A5A5E8A" w14:textId="2F2903E7" w:rsidR="00D20F87" w:rsidRPr="00D20F87" w:rsidRDefault="00D20F87" w:rsidP="004A1677">
      <w:pPr>
        <w:spacing w:after="120"/>
        <w:ind w:rightChars="100" w:right="200"/>
        <w:jc w:val="both"/>
      </w:pPr>
      <w:r>
        <w:rPr>
          <w:b/>
        </w:rPr>
        <w:t>Proposal 3</w:t>
      </w:r>
      <w:r w:rsidRPr="00CB7602">
        <w:rPr>
          <w:b/>
        </w:rPr>
        <w:t>:</w:t>
      </w:r>
      <w:r>
        <w:rPr>
          <w:b/>
        </w:rPr>
        <w:t xml:space="preserve"> </w:t>
      </w:r>
      <w:r w:rsidR="004A1677">
        <w:rPr>
          <w:b/>
        </w:rPr>
        <w:t>RAN2 support the UE-based solution</w:t>
      </w:r>
      <w:r w:rsidR="00B420C8">
        <w:rPr>
          <w:b/>
        </w:rPr>
        <w:t xml:space="preserve"> for </w:t>
      </w:r>
      <w:r w:rsidR="00B420C8" w:rsidRPr="00B420C8">
        <w:rPr>
          <w:b/>
        </w:rPr>
        <w:t>MHI enhancement for SCG deactivation/activation</w:t>
      </w:r>
      <w:r w:rsidR="004A1677">
        <w:rPr>
          <w:b/>
        </w:rPr>
        <w:t>.</w:t>
      </w:r>
    </w:p>
    <w:p w14:paraId="11F546F6" w14:textId="5BF249C8" w:rsidR="00D458FC"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0A16E11" w14:textId="77777777" w:rsidR="001F716E" w:rsidRPr="001F716E" w:rsidRDefault="001F716E" w:rsidP="001F716E">
      <w:pPr>
        <w:spacing w:after="120"/>
        <w:ind w:rightChars="100" w:right="200"/>
        <w:jc w:val="both"/>
        <w:rPr>
          <w:b/>
        </w:rPr>
      </w:pPr>
      <w:r w:rsidRPr="001F716E">
        <w:rPr>
          <w:b/>
        </w:rPr>
        <w:t>Proposal 1: RAN2 do not include the cell-reselection as failure cause for SDT transmission.</w:t>
      </w:r>
    </w:p>
    <w:p w14:paraId="4C08374D" w14:textId="77777777" w:rsidR="001F716E" w:rsidRPr="001F716E" w:rsidRDefault="001F716E" w:rsidP="001F716E">
      <w:pPr>
        <w:spacing w:after="120"/>
        <w:ind w:rightChars="100" w:right="200"/>
        <w:jc w:val="both"/>
        <w:rPr>
          <w:b/>
        </w:rPr>
      </w:pPr>
      <w:r w:rsidRPr="001F716E">
        <w:rPr>
          <w:b/>
        </w:rPr>
        <w:t>Proposal 2: The UE indicates in the RA-Report if the CG-SDT initiation was evaluated.</w:t>
      </w:r>
    </w:p>
    <w:p w14:paraId="0444564C" w14:textId="5C891D0D" w:rsidR="001F716E" w:rsidRPr="001F716E" w:rsidRDefault="001F716E" w:rsidP="004A1677">
      <w:pPr>
        <w:spacing w:after="120"/>
        <w:ind w:rightChars="100" w:right="200"/>
        <w:jc w:val="both"/>
        <w:rPr>
          <w:b/>
        </w:rPr>
      </w:pPr>
      <w:r w:rsidRPr="001F716E">
        <w:rPr>
          <w:b/>
        </w:rPr>
        <w:t>Proposal 3: RAN2 support the UE-based solution for MHI enhancement for SCG deactivation/activation.</w:t>
      </w:r>
    </w:p>
    <w:p w14:paraId="0A14D314" w14:textId="24B47257" w:rsidR="007C332C" w:rsidRDefault="007C332C" w:rsidP="007C332C">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w:t>
      </w:r>
    </w:p>
    <w:p w14:paraId="3F6C1655" w14:textId="132C708A" w:rsidR="00DF429C" w:rsidRPr="001F716E" w:rsidRDefault="007C332C" w:rsidP="001F716E">
      <w:pPr>
        <w:snapToGrid w:val="0"/>
        <w:spacing w:afterLines="50" w:after="120"/>
        <w:jc w:val="both"/>
        <w:rPr>
          <w:lang w:val="en-US" w:eastAsia="zh-CN"/>
        </w:rPr>
      </w:pPr>
      <w:r w:rsidRPr="007C332C">
        <w:rPr>
          <w:rFonts w:hint="eastAsia"/>
          <w:lang w:val="en-US" w:eastAsia="zh-CN"/>
        </w:rPr>
        <w:t>[</w:t>
      </w:r>
      <w:r>
        <w:rPr>
          <w:lang w:val="en-US" w:eastAsia="zh-CN"/>
        </w:rPr>
        <w:t>1</w:t>
      </w:r>
      <w:r w:rsidRPr="007C332C">
        <w:rPr>
          <w:rFonts w:hint="eastAsia"/>
          <w:lang w:val="en-US" w:eastAsia="zh-CN"/>
        </w:rPr>
        <w:t>]</w:t>
      </w:r>
      <w:r w:rsidRPr="007C332C">
        <w:rPr>
          <w:lang w:val="en-US" w:eastAsia="zh-CN"/>
        </w:rPr>
        <w:tab/>
        <w:t>R</w:t>
      </w:r>
      <w:r>
        <w:rPr>
          <w:lang w:val="en-US" w:eastAsia="zh-CN"/>
        </w:rPr>
        <w:t>3-247906</w:t>
      </w:r>
      <w:r w:rsidRPr="007C332C">
        <w:rPr>
          <w:rFonts w:hint="eastAsia"/>
          <w:lang w:val="en-US" w:eastAsia="zh-CN"/>
        </w:rPr>
        <w:t xml:space="preserve">, </w:t>
      </w:r>
      <w:r>
        <w:rPr>
          <w:lang w:val="en-US" w:eastAsia="zh-CN"/>
        </w:rPr>
        <w:t>R</w:t>
      </w:r>
      <w:r>
        <w:rPr>
          <w:rFonts w:hint="eastAsia"/>
          <w:lang w:val="en-US" w:eastAsia="zh-CN"/>
        </w:rPr>
        <w:t>eply</w:t>
      </w:r>
      <w:r>
        <w:rPr>
          <w:lang w:val="en-US" w:eastAsia="zh-CN"/>
        </w:rPr>
        <w:t xml:space="preserve"> </w:t>
      </w:r>
      <w:r w:rsidRPr="007C332C">
        <w:rPr>
          <w:rFonts w:cs="Arial"/>
          <w:szCs w:val="24"/>
        </w:rPr>
        <w:t>LS on MHI enhancement solution for SCG deactivation/activation</w:t>
      </w:r>
      <w:r w:rsidRPr="007C332C">
        <w:rPr>
          <w:rFonts w:cs="Arial" w:hint="eastAsia"/>
          <w:szCs w:val="24"/>
          <w:lang w:eastAsia="zh-CN"/>
        </w:rPr>
        <w:t xml:space="preserve">, </w:t>
      </w:r>
      <w:r>
        <w:rPr>
          <w:rFonts w:cs="Arial"/>
          <w:szCs w:val="24"/>
          <w:lang w:eastAsia="zh-CN"/>
        </w:rPr>
        <w:t>RAN3</w:t>
      </w:r>
      <w:bookmarkEnd w:id="3"/>
    </w:p>
    <w:sectPr w:rsidR="00DF429C" w:rsidRPr="001F71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FCA83" w14:textId="77777777" w:rsidR="008109EB" w:rsidRDefault="008109EB">
      <w:r>
        <w:separator/>
      </w:r>
    </w:p>
  </w:endnote>
  <w:endnote w:type="continuationSeparator" w:id="0">
    <w:p w14:paraId="4DF9160F" w14:textId="77777777" w:rsidR="008109EB" w:rsidRDefault="008109EB">
      <w:r>
        <w:continuationSeparator/>
      </w:r>
    </w:p>
  </w:endnote>
  <w:endnote w:type="continuationNotice" w:id="1">
    <w:p w14:paraId="35A15D7A" w14:textId="77777777" w:rsidR="008109EB" w:rsidRDefault="00810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E64EC" w14:textId="77777777" w:rsidR="008109EB" w:rsidRDefault="008109EB">
      <w:r>
        <w:separator/>
      </w:r>
    </w:p>
  </w:footnote>
  <w:footnote w:type="continuationSeparator" w:id="0">
    <w:p w14:paraId="7E3831AD" w14:textId="77777777" w:rsidR="008109EB" w:rsidRDefault="008109EB">
      <w:r>
        <w:continuationSeparator/>
      </w:r>
    </w:p>
  </w:footnote>
  <w:footnote w:type="continuationNotice" w:id="1">
    <w:p w14:paraId="6627C565" w14:textId="77777777" w:rsidR="008109EB" w:rsidRDefault="00810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724061"/>
    <w:multiLevelType w:val="hybridMultilevel"/>
    <w:tmpl w:val="0AF83F22"/>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0"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124A2"/>
    <w:multiLevelType w:val="hybridMultilevel"/>
    <w:tmpl w:val="2DFEB0F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7850DC"/>
    <w:multiLevelType w:val="hybridMultilevel"/>
    <w:tmpl w:val="83DAE0B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57B5A"/>
    <w:multiLevelType w:val="hybridMultilevel"/>
    <w:tmpl w:val="DDDCC87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num>
  <w:num w:numId="2">
    <w:abstractNumId w:val="15"/>
  </w:num>
  <w:num w:numId="3">
    <w:abstractNumId w:val="28"/>
  </w:num>
  <w:num w:numId="4">
    <w:abstractNumId w:val="22"/>
  </w:num>
  <w:num w:numId="5">
    <w:abstractNumId w:val="37"/>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4"/>
  </w:num>
  <w:num w:numId="9">
    <w:abstractNumId w:val="3"/>
  </w:num>
  <w:num w:numId="10">
    <w:abstractNumId w:val="15"/>
  </w:num>
  <w:num w:numId="11">
    <w:abstractNumId w:val="15"/>
  </w:num>
  <w:num w:numId="12">
    <w:abstractNumId w:val="15"/>
  </w:num>
  <w:num w:numId="13">
    <w:abstractNumId w:val="29"/>
  </w:num>
  <w:num w:numId="14">
    <w:abstractNumId w:val="1"/>
  </w:num>
  <w:num w:numId="15">
    <w:abstractNumId w:val="12"/>
  </w:num>
  <w:num w:numId="16">
    <w:abstractNumId w:val="13"/>
  </w:num>
  <w:num w:numId="17">
    <w:abstractNumId w:val="23"/>
  </w:num>
  <w:num w:numId="18">
    <w:abstractNumId w:val="2"/>
  </w:num>
  <w:num w:numId="19">
    <w:abstractNumId w:val="26"/>
  </w:num>
  <w:num w:numId="20">
    <w:abstractNumId w:val="33"/>
  </w:num>
  <w:num w:numId="21">
    <w:abstractNumId w:val="30"/>
  </w:num>
  <w:num w:numId="22">
    <w:abstractNumId w:val="7"/>
  </w:num>
  <w:num w:numId="23">
    <w:abstractNumId w:val="31"/>
  </w:num>
  <w:num w:numId="24">
    <w:abstractNumId w:val="19"/>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15"/>
  </w:num>
  <w:num w:numId="27">
    <w:abstractNumId w:val="16"/>
  </w:num>
  <w:num w:numId="28">
    <w:abstractNumId w:val="10"/>
  </w:num>
  <w:num w:numId="29">
    <w:abstractNumId w:val="8"/>
  </w:num>
  <w:num w:numId="30">
    <w:abstractNumId w:val="18"/>
  </w:num>
  <w:num w:numId="31">
    <w:abstractNumId w:val="35"/>
  </w:num>
  <w:num w:numId="32">
    <w:abstractNumId w:val="5"/>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2"/>
  </w:num>
  <w:num w:numId="35">
    <w:abstractNumId w:val="11"/>
  </w:num>
  <w:num w:numId="36">
    <w:abstractNumId w:val="36"/>
  </w:num>
  <w:num w:numId="37">
    <w:abstractNumId w:val="15"/>
  </w:num>
  <w:num w:numId="38">
    <w:abstractNumId w:val="15"/>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7"/>
  </w:num>
  <w:num w:numId="43">
    <w:abstractNumId w:val="21"/>
  </w:num>
  <w:num w:numId="44">
    <w:abstractNumId w:val="0"/>
  </w:num>
  <w:num w:numId="45">
    <w:abstractNumId w:val="39"/>
  </w:num>
  <w:num w:numId="46">
    <w:abstractNumId w:val="25"/>
  </w:num>
  <w:num w:numId="47">
    <w:abstractNumId w:val="14"/>
  </w:num>
  <w:num w:numId="48">
    <w:abstractNumId w:val="24"/>
  </w:num>
  <w:num w:numId="49">
    <w:abstractNumId w:val="6"/>
  </w:num>
  <w:num w:numId="5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03"/>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3F6"/>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6E"/>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9E1"/>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AFD"/>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4DB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20"/>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B79"/>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389"/>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677"/>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ACD"/>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892"/>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807"/>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37A7"/>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32C"/>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EFD"/>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9EB"/>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08"/>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068"/>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B57"/>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9E2"/>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5C"/>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3D"/>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C8"/>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565"/>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57"/>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0F87"/>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99"/>
    <w:rsid w:val="00D26CDA"/>
    <w:rsid w:val="00D26F59"/>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C14"/>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BC9"/>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7246"/>
    <w:rsid w:val="00F673C2"/>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ê¥¹¥È¶ÎÂä"/>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99"/>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42832-C3F0-44E8-9B60-63082CF4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Jun2</cp:lastModifiedBy>
  <cp:revision>36</cp:revision>
  <cp:lastPrinted>2018-12-18T01:25:00Z</cp:lastPrinted>
  <dcterms:created xsi:type="dcterms:W3CDTF">2025-01-17T07:59:00Z</dcterms:created>
  <dcterms:modified xsi:type="dcterms:W3CDTF">2025-02-07T01:53:00Z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